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107" w:rsidRDefault="008333CC">
      <w:pPr>
        <w:jc w:val="center"/>
        <w:rPr>
          <w:b/>
          <w:sz w:val="28"/>
          <w:szCs w:val="28"/>
          <w:lang w:val="bg-BG"/>
        </w:rPr>
      </w:pP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t>Приложение 2</w:t>
      </w:r>
    </w:p>
    <w:p w:rsidR="00510107" w:rsidRDefault="00510107">
      <w:pPr>
        <w:jc w:val="center"/>
        <w:rPr>
          <w:b/>
          <w:sz w:val="28"/>
          <w:szCs w:val="28"/>
          <w:lang w:val="bg-BG"/>
        </w:rPr>
      </w:pPr>
    </w:p>
    <w:p w:rsidR="008333CC" w:rsidRDefault="008333CC">
      <w:pPr>
        <w:jc w:val="center"/>
        <w:rPr>
          <w:b/>
          <w:sz w:val="28"/>
          <w:szCs w:val="28"/>
          <w:lang w:val="bg-BG"/>
        </w:rPr>
      </w:pPr>
    </w:p>
    <w:p w:rsidR="00510107" w:rsidRDefault="008333CC">
      <w:pPr>
        <w:jc w:val="center"/>
        <w:rPr>
          <w:b/>
          <w:sz w:val="28"/>
          <w:szCs w:val="28"/>
          <w:lang w:val="bg-BG"/>
        </w:rPr>
      </w:pPr>
      <w:r>
        <w:rPr>
          <w:b/>
          <w:sz w:val="28"/>
          <w:szCs w:val="28"/>
          <w:lang w:val="bg-BG"/>
        </w:rPr>
        <w:t xml:space="preserve">Извадка от Административен договор </w:t>
      </w:r>
    </w:p>
    <w:p w:rsidR="00510107" w:rsidRDefault="008333CC">
      <w:pPr>
        <w:jc w:val="center"/>
        <w:rPr>
          <w:b/>
          <w:sz w:val="28"/>
          <w:szCs w:val="28"/>
          <w:lang w:val="bg-BG"/>
        </w:rPr>
      </w:pPr>
      <w:r>
        <w:rPr>
          <w:b/>
          <w:sz w:val="28"/>
          <w:szCs w:val="28"/>
          <w:lang w:val="bg-BG"/>
        </w:rPr>
        <w:t xml:space="preserve">№BG05SFPR002-1.004-0240-С01 от 9.12.2024 г.   </w:t>
      </w:r>
    </w:p>
    <w:p w:rsidR="00510107" w:rsidRDefault="008333CC">
      <w:pPr>
        <w:jc w:val="center"/>
        <w:rPr>
          <w:b/>
          <w:sz w:val="28"/>
          <w:szCs w:val="28"/>
          <w:lang w:val="bg-BG"/>
        </w:rPr>
      </w:pPr>
      <w:r>
        <w:rPr>
          <w:b/>
          <w:sz w:val="28"/>
          <w:szCs w:val="28"/>
          <w:lang w:val="bg-BG"/>
        </w:rPr>
        <w:t xml:space="preserve">между Министерство на труда и социалната политика и Джовани ЕООД </w:t>
      </w:r>
      <w:r>
        <w:rPr>
          <w:b/>
          <w:lang w:val="bg-BG"/>
        </w:rPr>
        <w:t>за изпълнение на проект „Адаптиране към променящите се модели на работа“, финансиран от Програма „Развитие на човешките ресурси“2021-2027</w:t>
      </w:r>
    </w:p>
    <w:p w:rsidR="00510107" w:rsidRDefault="00510107">
      <w:pPr>
        <w:rPr>
          <w:sz w:val="32"/>
          <w:szCs w:val="32"/>
          <w:lang w:val="bg-BG"/>
        </w:rPr>
      </w:pPr>
    </w:p>
    <w:p w:rsidR="00510107" w:rsidRDefault="008333CC">
      <w:pPr>
        <w:pStyle w:val="Default"/>
        <w:rPr>
          <w:lang w:val="bg-BG"/>
        </w:rPr>
      </w:pPr>
      <w:r>
        <w:rPr>
          <w:b/>
          <w:sz w:val="23"/>
          <w:szCs w:val="23"/>
          <w:lang w:val="bg-BG"/>
        </w:rPr>
        <w:t>3</w:t>
      </w:r>
      <w:r>
        <w:rPr>
          <w:b/>
          <w:lang w:val="bg-BG"/>
        </w:rPr>
        <w:t>.23</w:t>
      </w:r>
      <w:r>
        <w:rPr>
          <w:lang w:val="bg-BG"/>
        </w:rPr>
        <w:t xml:space="preserve"> Бенефициентът е длъжен да изпълни поетите ангажименти съобразно сключения договор и с оглед изпълнение на предвидените в проекта цели. </w:t>
      </w:r>
    </w:p>
    <w:p w:rsidR="00510107" w:rsidRDefault="008333CC">
      <w:pPr>
        <w:rPr>
          <w:sz w:val="23"/>
          <w:szCs w:val="23"/>
          <w:lang w:val="bg-BG"/>
        </w:rPr>
      </w:pPr>
      <w:r>
        <w:rPr>
          <w:b/>
          <w:lang w:val="bg-BG"/>
        </w:rPr>
        <w:t>3.24</w:t>
      </w:r>
      <w:r>
        <w:rPr>
          <w:lang w:val="bg-BG"/>
        </w:rPr>
        <w:t xml:space="preserve"> Бенефициентът изпълнява договора при спазване на хоризонталните принципи и законност, добро финансово управление, пропорционалност и прозрачност чрез партньорство и многостепенно управление с цел намаляване на административната тежест за бенефициента и при осигуряването на видимост</w:t>
      </w:r>
      <w:r>
        <w:rPr>
          <w:sz w:val="23"/>
          <w:szCs w:val="23"/>
          <w:lang w:val="bg-BG"/>
        </w:rPr>
        <w:t>.</w:t>
      </w:r>
    </w:p>
    <w:p w:rsidR="00510107" w:rsidRDefault="008333CC">
      <w:pPr>
        <w:rPr>
          <w:lang w:val="bg-BG"/>
        </w:rPr>
      </w:pPr>
      <w:r>
        <w:rPr>
          <w:b/>
          <w:lang w:val="bg-BG"/>
        </w:rPr>
        <w:t xml:space="preserve">3.36 </w:t>
      </w:r>
      <w:r>
        <w:rPr>
          <w:lang w:val="bg-BG"/>
        </w:rPr>
        <w:t>Управляващият орган не носи отговорност за вреди, понесени от служителите или имуществото на Бенефициента по време на изпълнение на договора или като последица от него. Управляващият орган не дължи обезщетения или допълнителни плащания извън предвидените по договора, свързани с подобни вреди.</w:t>
      </w:r>
    </w:p>
    <w:p w:rsidR="00510107" w:rsidRDefault="008333CC">
      <w:pPr>
        <w:rPr>
          <w:lang w:val="bg-BG"/>
        </w:rPr>
      </w:pPr>
      <w:r>
        <w:rPr>
          <w:b/>
          <w:lang w:val="bg-BG"/>
        </w:rPr>
        <w:t>3.37</w:t>
      </w:r>
      <w:r>
        <w:rPr>
          <w:lang w:val="bg-BG"/>
        </w:rPr>
        <w:t xml:space="preserve"> Бенефициентът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 Управляващият орган не носи отговорност, произтичащата от искове или жалби вследствие нарушение на нормативни изисквания от страна на Бенефициента, неговите служители или лица, подчинени на неговите служители, или в резултат на нарушение на правата на трето лице.</w:t>
      </w:r>
    </w:p>
    <w:p w:rsidR="00510107" w:rsidRDefault="008333CC">
      <w:pPr>
        <w:rPr>
          <w:lang w:val="bg-BG"/>
        </w:rPr>
      </w:pPr>
      <w:r>
        <w:rPr>
          <w:lang w:val="bg-BG"/>
        </w:rPr>
        <w:t>Конфликт на интереси</w:t>
      </w:r>
    </w:p>
    <w:p w:rsidR="00510107" w:rsidRDefault="008333CC">
      <w:pPr>
        <w:rPr>
          <w:lang w:val="bg-BG"/>
        </w:rPr>
      </w:pPr>
      <w:r>
        <w:rPr>
          <w:b/>
          <w:lang w:val="bg-BG"/>
        </w:rPr>
        <w:t>3.38</w:t>
      </w:r>
      <w:r>
        <w:rPr>
          <w:lang w:val="bg-BG"/>
        </w:rPr>
        <w:t xml:space="preserve"> Бенефициентът не предприема каквито и да са дейности, които могат да го поставят в хипотеза на конфликт на интереси по смисъла на чл. 61 от Регламент (ЕС, Евратом) 2024/2509 на Европейския парламент и на Съвета и относимото национално законодателство. При наличие на такъв риск Бенефициентът предприема всички необходими мерки за избягване на конфликт на интереси, и уведомява незабавно Управляващия орган относно обстоятелство, което предизвиква или може да предизвика подобен конфликт. Конфликт на интереси е налице, когато безпристрастното и обективно упражняване на функциите по договора на което и да е лице, е опорочено поради причини, свързани със семейния и емоционалния живот, политическа или национална принадлежност, икономически интереси или всякакъв друг пряк или косвен личен интерес, съгласно чл. 61 от Регламент (ЕС, Евратом) 2024/2509 на Европейския парламент и на Съвета от 23 септември 2024 година за финансовите правила, приложими за общия бюджет на Съюза.</w:t>
      </w:r>
    </w:p>
    <w:p w:rsidR="00510107" w:rsidRDefault="008333CC">
      <w:pPr>
        <w:rPr>
          <w:lang w:val="bg-BG"/>
        </w:rPr>
      </w:pPr>
      <w:r>
        <w:rPr>
          <w:lang w:val="bg-BG"/>
        </w:rPr>
        <w:t>Поверителност</w:t>
      </w:r>
    </w:p>
    <w:p w:rsidR="00510107" w:rsidRDefault="008333CC">
      <w:pPr>
        <w:rPr>
          <w:lang w:val="bg-BG"/>
        </w:rPr>
      </w:pPr>
      <w:r>
        <w:rPr>
          <w:b/>
          <w:lang w:val="bg-BG"/>
        </w:rPr>
        <w:t xml:space="preserve">3.39 </w:t>
      </w:r>
      <w:r>
        <w:rPr>
          <w:lang w:val="bg-BG"/>
        </w:rPr>
        <w:t xml:space="preserve">При спазване на разпоредбата на </w:t>
      </w:r>
      <w:r w:rsidRPr="008333CC">
        <w:rPr>
          <w:lang w:val="bg-BG"/>
        </w:rPr>
        <w:t>членове 3.65, 3.66, 3.67, 3.68, 3.69 и 3.70</w:t>
      </w:r>
      <w:r>
        <w:rPr>
          <w:lang w:val="bg-BG"/>
        </w:rPr>
        <w:t xml:space="preserve"> Управляващият орган, Счетоводният орган и Бенефициентът се задължават да запазят </w:t>
      </w:r>
      <w:r>
        <w:rPr>
          <w:lang w:val="bg-BG"/>
        </w:rPr>
        <w:lastRenderedPageBreak/>
        <w:t>поверителността на всички поверително предоставени документи, информация или други материали:</w:t>
      </w:r>
    </w:p>
    <w:p w:rsidR="00510107" w:rsidRDefault="008333CC">
      <w:pPr>
        <w:rPr>
          <w:lang w:val="bg-BG"/>
        </w:rPr>
      </w:pPr>
      <w:r>
        <w:rPr>
          <w:lang w:val="bg-BG"/>
        </w:rPr>
        <w:t>• за срок не по-малко от пет години, считано от 31 декември на годината, в която е извършено последното плащане от управляващия орган към Бенефициента;</w:t>
      </w:r>
    </w:p>
    <w:p w:rsidR="00510107" w:rsidRDefault="008333CC">
      <w:pPr>
        <w:rPr>
          <w:lang w:val="bg-BG"/>
        </w:rPr>
      </w:pPr>
      <w:r>
        <w:rPr>
          <w:lang w:val="bg-BG"/>
        </w:rPr>
        <w:t>• Когато безвъзмездната финансова помощ попада в обхвата на Регламент (ЕС) № 2023/2831 на Комисията, за период от 10 години от датата, на която е отпусната всяка индивидуална помощ по такава схема.</w:t>
      </w:r>
    </w:p>
    <w:p w:rsidR="00510107" w:rsidRDefault="008333CC">
      <w:pPr>
        <w:rPr>
          <w:lang w:val="bg-BG"/>
        </w:rPr>
      </w:pPr>
      <w:r>
        <w:rPr>
          <w:lang w:val="bg-BG"/>
        </w:rPr>
        <w:t>Управляващият орган уведомява Бенефициента за началната дата, от която тече периодът.</w:t>
      </w:r>
    </w:p>
    <w:p w:rsidR="00510107" w:rsidRDefault="008333CC">
      <w:pPr>
        <w:rPr>
          <w:lang w:val="bg-BG"/>
        </w:rPr>
      </w:pPr>
      <w:r>
        <w:rPr>
          <w:lang w:val="bg-BG"/>
        </w:rPr>
        <w:t>Европейската комисия има право на достъп до всички документи, предоставени на Управляващия орган, като спазва същите изисквания за поверителност.</w:t>
      </w:r>
    </w:p>
    <w:p w:rsidR="00510107" w:rsidRDefault="008333CC">
      <w:pPr>
        <w:rPr>
          <w:lang w:val="bg-BG"/>
        </w:rPr>
      </w:pPr>
      <w:r>
        <w:rPr>
          <w:lang w:val="bg-BG"/>
        </w:rPr>
        <w:t>При реализиране на своите правомощия Управляващият орган, Счетоводният орган, Бенефициентът и Европейската комисия спазват изискванията за защита на личните данни съобразно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и приложимото национално законодателство.</w:t>
      </w:r>
    </w:p>
    <w:p w:rsidR="00510107" w:rsidRDefault="008333CC">
      <w:pPr>
        <w:rPr>
          <w:lang w:val="bg-BG"/>
        </w:rPr>
      </w:pPr>
      <w:r>
        <w:rPr>
          <w:lang w:val="bg-BG"/>
        </w:rPr>
        <w:t>Мерки за видимост, прозрачност и комуникация, насочени към обществеността</w:t>
      </w:r>
    </w:p>
    <w:p w:rsidR="00510107" w:rsidRDefault="008333CC">
      <w:pPr>
        <w:rPr>
          <w:lang w:val="bg-BG"/>
        </w:rPr>
      </w:pPr>
      <w:r>
        <w:rPr>
          <w:b/>
          <w:lang w:val="bg-BG"/>
        </w:rPr>
        <w:t>3.40</w:t>
      </w:r>
      <w:r>
        <w:rPr>
          <w:lang w:val="bg-BG"/>
        </w:rPr>
        <w:t xml:space="preserve"> Бенефициентът повишава осведомеността за това какво е постигнато с финансирането от Европейския съюз и информира по съответния начин широката общественост. Дейностите за прозрачност, комуникация и видимост са от основно значение, за да се популяризира европейската подкрепа, и следва да почиват на вярна, точна и актуална информация. За тази цел бенефициентът е длъжен да направи всичко необходимо за разгласяване на факта, че проектът се съфинансира от Европейския съюз. Предприетите мерки трябва да са в съответствие с разпоредбите на Глава III „Видимост, прозрачност и комуникация“ и Приложение IX от Регламент (ЕС) 2021/1060, чл. 36 от Регламент (ЕС) 2021/1057 и в публикуваните материали с изисквания за видимост, прозрачност и комуникация на Единния информационен портал.</w:t>
      </w:r>
    </w:p>
    <w:p w:rsidR="00510107" w:rsidRDefault="008333CC">
      <w:pPr>
        <w:rPr>
          <w:lang w:val="bg-BG"/>
        </w:rPr>
      </w:pPr>
      <w:r>
        <w:rPr>
          <w:lang w:val="bg-BG"/>
        </w:rPr>
        <w:t>При реализация на всички свои дейности, свързани с популяризиране на приноса на Съюза, бенефициентът е длъжен да използва емблемата на ЕС, неразделно от надписа „съфинансирано от Европейския съюз“, съгласно изискванията в Приложение IX от Регламент 2021/1060. Ако освен емблемата на ЕС, има изобразени и други логотипи, емблемата на ЕС е най-малко със същия размер, измерен по височина или ширина, като на най-големия от другите логотипи.</w:t>
      </w:r>
    </w:p>
    <w:p w:rsidR="00510107" w:rsidRDefault="008333CC">
      <w:pPr>
        <w:rPr>
          <w:lang w:val="bg-BG"/>
        </w:rPr>
      </w:pPr>
      <w:r>
        <w:rPr>
          <w:lang w:val="bg-BG"/>
        </w:rPr>
        <w:t>Процедура BG05SFPR002-1.004 „Адаптирана работна среда“ е определена за операция от стратегическо значение и съгласно чл. 50, ал. 1, точка „д“ от Регламент 2021/1060. Бенефициентът следва да организира, според случая, комуникационна проява или дейност, като привлече своевременно за участие Комисията и Управляващия орган.</w:t>
      </w:r>
    </w:p>
    <w:p w:rsidR="00510107" w:rsidRDefault="008333CC">
      <w:pPr>
        <w:rPr>
          <w:lang w:val="bg-BG"/>
        </w:rPr>
      </w:pPr>
      <w:r>
        <w:rPr>
          <w:b/>
          <w:lang w:val="bg-BG"/>
        </w:rPr>
        <w:t>3.41.</w:t>
      </w:r>
      <w:r>
        <w:rPr>
          <w:lang w:val="bg-BG"/>
        </w:rPr>
        <w:t xml:space="preserve"> Бенефициентът е съгласен да съдейства по всички възможни начини на Управляващия орган на ПРЧР при разгласяване на приноса на Европейския съюз и постигнатите от бенефициента резултати в изпълнение на проекта, чийто обект е настоящият договор.</w:t>
      </w:r>
    </w:p>
    <w:p w:rsidR="00510107" w:rsidRDefault="008333CC">
      <w:pPr>
        <w:rPr>
          <w:lang w:val="bg-BG"/>
        </w:rPr>
      </w:pPr>
      <w:r>
        <w:rPr>
          <w:lang w:val="bg-BG"/>
        </w:rPr>
        <w:t xml:space="preserve">Бенефициентът е съгласен Управляващия орган, националните одитни органи, Европейската комисия, Европейската служба за борба с измамите, Европейската сметна палата и външните одитори да публикуват неговото наименование и адрес, </w:t>
      </w:r>
      <w:r>
        <w:rPr>
          <w:lang w:val="bg-BG"/>
        </w:rPr>
        <w:lastRenderedPageBreak/>
        <w:t>предназначението на отпуснатата безвъзмездна финансова помощ, максималния размер на помощта и съотношението на финансиране на допустимите разходи по договора, съгласно предвиденото в договора.</w:t>
      </w:r>
    </w:p>
    <w:p w:rsidR="00510107" w:rsidRDefault="008333CC">
      <w:pPr>
        <w:rPr>
          <w:lang w:val="bg-BG"/>
        </w:rPr>
      </w:pPr>
      <w:r>
        <w:rPr>
          <w:b/>
          <w:lang w:val="bg-BG"/>
        </w:rPr>
        <w:t>3.42.</w:t>
      </w:r>
      <w:r>
        <w:rPr>
          <w:lang w:val="bg-BG"/>
        </w:rPr>
        <w:t xml:space="preserve"> В случай на неспазване на задължителните мерки за видимост, прозрачност и комуникация, определени в европейската и национална нормативна уредба, Управляващият орган предприема мерки/ действия, отчитайки принципа на</w:t>
      </w:r>
    </w:p>
    <w:p w:rsidR="00510107" w:rsidRDefault="008333CC">
      <w:pPr>
        <w:rPr>
          <w:lang w:val="bg-BG"/>
        </w:rPr>
      </w:pPr>
      <w:r>
        <w:rPr>
          <w:lang w:val="bg-BG"/>
        </w:rPr>
        <w:t>пропорционалност, като анулира до 3% от подкрепата на фондовете за съответната операция, съгласно чл. 50, параграф 3 от Регламент (ЕС) 2021/1060 на Европейския парламент и на Съвета. В случай на промяна в европейската и национална нормативна уредба, свързана с процедурата или начина на определяне на финансови корекции или влизане в сила на нов нормативен акт, уреждащ тази материя, финансовата корекция ще бъде определена по правилата на нормативната уредба, действаща към момента на налагане на корекцията.</w:t>
      </w:r>
    </w:p>
    <w:p w:rsidR="00510107" w:rsidRDefault="008333CC">
      <w:pPr>
        <w:rPr>
          <w:lang w:val="bg-BG"/>
        </w:rPr>
      </w:pPr>
      <w:r>
        <w:rPr>
          <w:lang w:val="bg-BG"/>
        </w:rPr>
        <w:t>Право на собственост/ползване на резултатите и закупеното оборудване</w:t>
      </w:r>
    </w:p>
    <w:p w:rsidR="00510107" w:rsidRDefault="008333CC">
      <w:pPr>
        <w:rPr>
          <w:lang w:val="bg-BG"/>
        </w:rPr>
      </w:pPr>
      <w:r>
        <w:rPr>
          <w:b/>
          <w:lang w:val="bg-BG"/>
        </w:rPr>
        <w:t>3.43</w:t>
      </w:r>
      <w:r>
        <w:rPr>
          <w:lang w:val="bg-BG"/>
        </w:rPr>
        <w:t xml:space="preserve"> Правото на собственост, включително правата на интелектуална и индустриална собственост върху резултатите от договора, докладите и други документи, свързани с него, възникват за Бенефициента.</w:t>
      </w:r>
    </w:p>
    <w:p w:rsidR="00510107" w:rsidRDefault="008333CC">
      <w:pPr>
        <w:rPr>
          <w:lang w:val="bg-BG"/>
        </w:rPr>
      </w:pPr>
      <w:r>
        <w:rPr>
          <w:b/>
          <w:lang w:val="bg-BG"/>
        </w:rPr>
        <w:t xml:space="preserve">3.44 </w:t>
      </w:r>
      <w:r>
        <w:rPr>
          <w:lang w:val="bg-BG"/>
        </w:rPr>
        <w:t>Независимо от разпоредбите на член 3.43 и при спазване на разпоредбата на член 3.39, Бенефициентът предоставя на Управляващия орган и Счетоводния орган, националните одитни органи, Европейската комисия, Европейската служба за борба с измамите, Европейската сметна палата и външни одитори правото да ползват свободно и съобразно обхвата на проверката всички документи, свързани с договора, независимо от формата им, при условие, че с това не се нарушават съществуващи права на интелектуална и индустриална собственост.</w:t>
      </w:r>
    </w:p>
    <w:p w:rsidR="00510107" w:rsidRDefault="008333CC">
      <w:pPr>
        <w:rPr>
          <w:lang w:val="bg-BG"/>
        </w:rPr>
      </w:pPr>
      <w:r>
        <w:rPr>
          <w:b/>
          <w:lang w:val="bg-BG"/>
        </w:rPr>
        <w:t xml:space="preserve">3.68 </w:t>
      </w:r>
      <w:r>
        <w:rPr>
          <w:lang w:val="bg-BG"/>
        </w:rPr>
        <w:t>Бенефициентът е длъжен да допуска Управляващия орган, Счетоводния орган, националните одитни органи, Европейската комисия, Европейската служба за борба с измамите, Европейската сметна палата и външни одитори да проверяват, посредством проучване на документацията му или проверки на място, изпълнението на договора, и да проведат пълен одит, при необходимост, въз основа на разходооправдателните документи, приложени към счетоводните отчети, счетоводната документация и други документи, свързани с финансирането на договора. Бенефициентът е длъжен да осигури наличността на документите в съответствие с изискванията на чл. 82 от Регламент (ЕС) № 2021/1060 на Европейския парламент и на Съвета.</w:t>
      </w:r>
    </w:p>
    <w:p w:rsidR="00510107" w:rsidRDefault="008333CC">
      <w:pPr>
        <w:rPr>
          <w:lang w:val="bg-BG"/>
        </w:rPr>
      </w:pPr>
      <w:r>
        <w:rPr>
          <w:lang w:val="bg-BG"/>
        </w:rPr>
        <w:t>Бенефициентът е длъжен да допусне Управляващия орган, Счетоводния орган, националните одитни органи, Европейската служба за борба с измамите и външни одитори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rsidR="00510107" w:rsidRDefault="008333CC">
      <w:pPr>
        <w:rPr>
          <w:lang w:val="bg-BG"/>
        </w:rPr>
      </w:pPr>
      <w:r>
        <w:rPr>
          <w:lang w:val="bg-BG"/>
        </w:rPr>
        <w:t xml:space="preserve">За тази цел Бенефициентът се задължава да предостави на служителите или представителите на Управляващия орган, Счетоводния орган, националните одитни органи, Европейската комисия, Европейската служба за борба с измамите и Европейската сметна палата, както и на външни одитори достъп до местата, където се осъществява договорът, в това число и достъп до неговите информационни системи, както и до всички </w:t>
      </w:r>
      <w:r>
        <w:rPr>
          <w:lang w:val="bg-BG"/>
        </w:rPr>
        <w:lastRenderedPageBreak/>
        <w:t>документи и бази данни, свързани с финансово-техническото управление на договора, както и да направи всичко необходимо, за да улесни работата им. Достъпът, предоставен на служителите или представителите на Управляващия орган, Счетоводния орган, националните одитни органи, Европейската комисия, Европейската служба за борба с измамите, Европейската сметна палата и външните одитори трябва да 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 а Бенефициентът следва да уведоми Управляващия орган за точното им местонахождение.</w:t>
      </w:r>
    </w:p>
    <w:p w:rsidR="00510107" w:rsidRDefault="008333CC">
      <w:pPr>
        <w:rPr>
          <w:lang w:val="bg-BG"/>
        </w:rPr>
      </w:pPr>
      <w:r>
        <w:rPr>
          <w:b/>
          <w:lang w:val="bg-BG"/>
        </w:rPr>
        <w:t>3.69</w:t>
      </w:r>
      <w:r>
        <w:rPr>
          <w:lang w:val="bg-BG"/>
        </w:rPr>
        <w:t xml:space="preserve"> Бенефициентът гарантира, че правата на Управляващия орган, Счетоводния орган, националните одитни органи, Европейската комисия, Европейската служба за борба с измамите, Европейската сметна палата и външните одитори да извършват одити, проверки и проучвания, ще се упражняват равноправно, при еднакви условия и в съответствие с еднакви правила и по отношение на неговите подизпълнители. Когато подизпълнител на Бенефициента е международна организация, се прилагат споразумения за проверки, сключени между тази организация и Европейската комисия.</w:t>
      </w:r>
    </w:p>
    <w:p w:rsidR="00510107" w:rsidRDefault="008333CC">
      <w:pPr>
        <w:rPr>
          <w:lang w:val="bg-BG"/>
        </w:rPr>
      </w:pPr>
      <w:r>
        <w:rPr>
          <w:b/>
          <w:lang w:val="bg-BG"/>
        </w:rPr>
        <w:t xml:space="preserve">3.70 </w:t>
      </w:r>
      <w:r>
        <w:rPr>
          <w:lang w:val="bg-BG"/>
        </w:rPr>
        <w:t>Цялата документация по проекта се съхранява или под формата на оригинали, или в заверени версии верни с оригинала, на общоприети носители на данни. Съхранението се извършва в съответствие с изискванията на Закона за счетоводството като счетоводната система и документация са налични до изтичане на сроковете за съхранение на документацията, указани в чл.82 от Регламент (ЕС) № 2021/1060.</w:t>
      </w:r>
    </w:p>
    <w:p w:rsidR="00510107" w:rsidRDefault="008333CC">
      <w:pPr>
        <w:rPr>
          <w:lang w:val="bg-BG"/>
        </w:rPr>
      </w:pPr>
      <w:r>
        <w:rPr>
          <w:lang w:val="bg-BG"/>
        </w:rPr>
        <w:t>Без да се засягат правилата, уреждащи държавната помощ, Бенефициентът гарантира, че всички разходооправдателни документи и други документи с доказателствена стойност, свързани с изпълнението на проекта, се съхраняват за петгодишен срок, считано от 31 декември на годината, в която е извършено последното плащане от управляващия орган към бенефициера. Петгодишният срок спира да тече в случай на съдебно производство или по искане на Европейската комисия.</w:t>
      </w:r>
    </w:p>
    <w:p w:rsidR="00510107" w:rsidRDefault="008333CC">
      <w:pPr>
        <w:rPr>
          <w:lang w:val="bg-BG"/>
        </w:rPr>
      </w:pPr>
      <w:r>
        <w:rPr>
          <w:lang w:val="bg-BG"/>
        </w:rPr>
        <w:t>Когато безвъзмездната финансова помощ попада в обхвата на Регламент (ЕС) № 2023/2831 на Комисията, Бенефициентът и УО е длъжен да документира и събира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2023/2831. Документацията относно индивидуалните помощи de minimis се съхранява за период от 10 години, считано от датата на която е отпусната помощта. Документацията относно схемите за помощ de minimis се съхранява за период от 10 години от датата, на която е отпусната всяка индивидуална помощ по такава схема.</w:t>
      </w:r>
    </w:p>
    <w:p w:rsidR="00510107" w:rsidRDefault="008333CC">
      <w:pPr>
        <w:rPr>
          <w:lang w:val="bg-BG"/>
        </w:rPr>
      </w:pPr>
      <w:r>
        <w:rPr>
          <w:lang w:val="bg-BG"/>
        </w:rPr>
        <w:t>При поискване от Европейската комисия Бенефициентът предоставя чрез УО на П РЧР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2023/2831.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rsidR="009C524C" w:rsidRDefault="009C524C">
      <w:pPr>
        <w:rPr>
          <w:lang w:val="bg-BG"/>
        </w:rPr>
      </w:pPr>
    </w:p>
    <w:p w:rsidR="009C524C" w:rsidRDefault="009C524C">
      <w:pPr>
        <w:rPr>
          <w:lang w:val="bg-BG"/>
        </w:rPr>
      </w:pPr>
    </w:p>
    <w:p w:rsidR="009C524C" w:rsidRDefault="009C524C">
      <w:pPr>
        <w:rPr>
          <w:i/>
          <w:lang w:val="bg-BG"/>
        </w:rPr>
      </w:pPr>
      <w:r w:rsidRPr="009C524C">
        <w:rPr>
          <w:i/>
          <w:lang w:val="bg-BG"/>
        </w:rPr>
        <w:lastRenderedPageBreak/>
        <w:t>Членове 3.65, 3.66, 3.67, 3.68, 3.69 и 3.70</w:t>
      </w:r>
      <w:r>
        <w:rPr>
          <w:i/>
          <w:lang w:val="bg-BG"/>
        </w:rPr>
        <w:t>:</w:t>
      </w:r>
    </w:p>
    <w:p w:rsidR="009C524C" w:rsidRDefault="009C524C">
      <w:pPr>
        <w:rPr>
          <w:i/>
          <w:lang w:val="bg-BG"/>
        </w:rPr>
      </w:pPr>
      <w:r w:rsidRPr="009C524C">
        <w:rPr>
          <w:i/>
          <w:lang w:val="bg-BG"/>
        </w:rPr>
        <w:t>3.65 Бенефициентът трябва да води точна и редовна документация и счетоводни отчети, отразяващи изпълнението на договора, използвайки подходяща електронна система за документация и двустранно счетоводство. Тези системи могат да са неразделна част от текущата счетоводна система на Бенефициента или допълнение към тази система, така че да бъде осигурена отделна счетоводна аналитичност само за дейностите по Договора. Тази система следва да се прилага в съответствие със националното законодателство. Счетоводните отчети и разходите, свързани с договора, трябва да подлежат на ясно идентифициране и проверка.</w:t>
      </w:r>
    </w:p>
    <w:p w:rsidR="009C524C" w:rsidRDefault="009C524C">
      <w:pPr>
        <w:rPr>
          <w:i/>
          <w:lang w:val="bg-BG"/>
        </w:rPr>
      </w:pPr>
      <w:r w:rsidRPr="009C524C">
        <w:rPr>
          <w:i/>
          <w:lang w:val="bg-BG"/>
        </w:rPr>
        <w:t>3.66 В случаите, в които бенефициентът не е бюджетно предприятие и избраната по договора схема на плащане включва авансово плащане, той се задължава да гарантира, че генерираните лихви по банковата сметка, посочена във формуляра за финансова идентификация, могат да бъдат проследими и доказани, както и, че информацията по банковата сметка ще позволи лесното идентифициране и проследяване на разходите до и в счетоводните му системи. Счетоводните отчети трябва да съдържат данни за натрупаните лихви върху средствата, изплатени от Управляващия орган.</w:t>
      </w:r>
    </w:p>
    <w:p w:rsidR="009C524C" w:rsidRDefault="009C524C">
      <w:pPr>
        <w:rPr>
          <w:i/>
          <w:lang w:val="bg-BG"/>
        </w:rPr>
      </w:pPr>
      <w:r w:rsidRPr="009C524C">
        <w:rPr>
          <w:i/>
          <w:lang w:val="bg-BG"/>
        </w:rPr>
        <w:t>3.67 Бенефициентът трябва да гарантира, че данните, посочени в докладите (междинни и окончателен), предвидени в член 3.33, отговарят на тези в счетоводната система и документация и са налични до изтичане на сроковете за съхранение на документацията.</w:t>
      </w:r>
    </w:p>
    <w:p w:rsidR="009C524C" w:rsidRDefault="009C524C">
      <w:pPr>
        <w:rPr>
          <w:i/>
          <w:lang w:val="bg-BG"/>
        </w:rPr>
      </w:pPr>
      <w:r w:rsidRPr="009C524C">
        <w:rPr>
          <w:i/>
          <w:lang w:val="bg-BG"/>
        </w:rPr>
        <w:t>3.68 Бенефициентът е длъжен да допуска Управляващия орган, Счетоводния орган, националните одитни органи, Европейската комисия, Европейската служба за борба с измамите, Европейската сметна палата и външни одитори да проверяват, посредством проучване на документацията му или проверки на място, изпълнението на договора, и да проведат пълен одит, при необходимост, въз основа на разходооправдателните документи, приложени към счетоводните отчети, счетоводната документация и други документи, свързани с финансирането на договора. Бенефициентът е длъжен да осигури наличността на документите в съответствие с изискванията на чл. 82 от Регламент (ЕС) № 2021/1060 на Европейския парламент и на Съвета.</w:t>
      </w:r>
    </w:p>
    <w:p w:rsidR="009C524C" w:rsidRDefault="009C524C">
      <w:pPr>
        <w:rPr>
          <w:i/>
          <w:lang w:val="bg-BG"/>
        </w:rPr>
      </w:pPr>
      <w:r w:rsidRPr="009C524C">
        <w:rPr>
          <w:i/>
          <w:lang w:val="bg-BG"/>
        </w:rPr>
        <w:t>Бенефициентът е длъжен да допусне Управляващия орган, Счетоводния орган, националните одитни органи, Европейската служба за борба с измамите и външни одитори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rsidR="009C524C" w:rsidRDefault="009C524C">
      <w:pPr>
        <w:rPr>
          <w:i/>
          <w:lang w:val="bg-BG"/>
        </w:rPr>
      </w:pPr>
      <w:r w:rsidRPr="009C524C">
        <w:rPr>
          <w:i/>
          <w:lang w:val="bg-BG"/>
        </w:rPr>
        <w:t>За тази цел Бенефициентът се задължава да предостави на служителите или представителите на Управляващия орган, Счетоводния орган, националните одитни органи, Европейската комисия, Европейската служба за борба с измамите и Европейската сметна палата, както и на външни одитори достъп до местата, където се осъществява договорът, в това число и достъп до неговите информационни системи, както и до всички документи и бази данни, свързани с финансово-техническото управление на договора, както и да направи всичко необходимо, за</w:t>
      </w:r>
      <w:r>
        <w:rPr>
          <w:i/>
          <w:lang w:val="bg-BG"/>
        </w:rPr>
        <w:t xml:space="preserve"> </w:t>
      </w:r>
      <w:r w:rsidRPr="009C524C">
        <w:rPr>
          <w:i/>
          <w:lang w:val="bg-BG"/>
        </w:rPr>
        <w:t xml:space="preserve">да улесни работата им. Достъпът, предоставен на служителите или представителите на Управляващия орган, Счетоводния орган, националните одитни органи, Европейската комисия, Европейската служба за борба с измамите, Европейската сметна палата и външните </w:t>
      </w:r>
      <w:r w:rsidRPr="009C524C">
        <w:rPr>
          <w:i/>
          <w:lang w:val="bg-BG"/>
        </w:rPr>
        <w:lastRenderedPageBreak/>
        <w:t>одитори трябва да 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 а Бенефициентът следва да уведоми Управляващия орган за точното им местонахождение.</w:t>
      </w:r>
    </w:p>
    <w:p w:rsidR="009C524C" w:rsidRDefault="00AD389C">
      <w:pPr>
        <w:rPr>
          <w:i/>
          <w:lang w:val="bg-BG"/>
        </w:rPr>
      </w:pPr>
      <w:r w:rsidRPr="00AD389C">
        <w:rPr>
          <w:i/>
          <w:lang w:val="bg-BG"/>
        </w:rPr>
        <w:t>3.69 Бенефициентът гарантира, че правата на Управляващия орган, Счетоводния орган, националните одитни органи, Европейската комисия, Европейската служба за борба с измамите, Европейската сметна палата и външните одитори да извършват одити, проверки и проучвания, ще се упражняват равноправно, при еднакви условия и в съответствие с еднакви правила и по отношение на неговите подизпълнители. Когато подизпълнител на Бенефициента е международна организация, се прилагат споразумения за проверки, сключени между тази организация и Европейската комисия.</w:t>
      </w:r>
    </w:p>
    <w:p w:rsidR="00AD389C" w:rsidRPr="00AD389C" w:rsidRDefault="00AD389C" w:rsidP="00AD389C">
      <w:pPr>
        <w:rPr>
          <w:i/>
          <w:lang w:val="bg-BG"/>
        </w:rPr>
      </w:pPr>
      <w:r w:rsidRPr="00AD389C">
        <w:rPr>
          <w:i/>
          <w:lang w:val="bg-BG"/>
        </w:rPr>
        <w:t>3.70 Цялата документация по проекта се съхранява или под формата на оригинали, или в заверени версии верни с оригинала, на общоприети носители на данни. Съхранението се извършва в съответствие с изискванията на Закона за счетоводството като счетоводната система и документация са налични до изтичане на сроковете за съхранение на документацията, указани в чл.82 от Регламент (ЕС) № 2021/1060.</w:t>
      </w:r>
    </w:p>
    <w:p w:rsidR="00AD389C" w:rsidRDefault="00AD389C" w:rsidP="00AD389C">
      <w:pPr>
        <w:rPr>
          <w:i/>
          <w:lang w:val="bg-BG"/>
        </w:rPr>
      </w:pPr>
      <w:r w:rsidRPr="00AD389C">
        <w:rPr>
          <w:i/>
          <w:lang w:val="bg-BG"/>
        </w:rPr>
        <w:t>Без да се засягат правилата, уреждащи държавната помощ, Бенефициентът гарантира, че всички разходооправдателни документи и други документи с доказателствена стойност, свързани с изпълнението на проекта, се съхраняват за петгодишен срок, считано от 31 декември на годината, в която е извършено последното плащане от управляващия орган към бенефициера. Петгодишният срок спира да тече в случай на съдебно производство или по искане на Европейската комисия.</w:t>
      </w:r>
    </w:p>
    <w:p w:rsidR="00AD389C" w:rsidRDefault="00AD389C" w:rsidP="00AD389C">
      <w:pPr>
        <w:rPr>
          <w:i/>
          <w:lang w:val="bg-BG"/>
        </w:rPr>
      </w:pPr>
      <w:r w:rsidRPr="00AD389C">
        <w:rPr>
          <w:i/>
          <w:lang w:val="bg-BG"/>
        </w:rPr>
        <w:t>Когато безвъзмездната финансова помощ попада в обхвата на Регламент (ЕС) № 2023/2831 на Комисията, Бенефициентът и УО е длъжен да документира и събира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2023/2831. Документацията относно индивидуалните помощи de minimis се съхранява за период от 10 години, считано от датата на която е отпусната помощта. Документацията относно схемите за помощ de minimis се съхранява за период от 10 години от датата, на която е отпусната всяка индивидуална помощ по такава схема.</w:t>
      </w:r>
    </w:p>
    <w:p w:rsidR="00AD389C" w:rsidRPr="009C524C" w:rsidRDefault="00AD389C" w:rsidP="00AD389C">
      <w:pPr>
        <w:rPr>
          <w:i/>
          <w:lang w:val="bg-BG"/>
        </w:rPr>
      </w:pPr>
      <w:r w:rsidRPr="00AD389C">
        <w:rPr>
          <w:i/>
          <w:lang w:val="bg-BG"/>
        </w:rPr>
        <w:t>При поискване от Европейската комисия Бенефициентът предоставя чрез УО на П РЧР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2023/2831. Информацията и документацията се предоставят на министъра на финансите в срок 15 работни дни,</w:t>
      </w:r>
      <w:r>
        <w:rPr>
          <w:i/>
          <w:lang w:val="bg-BG"/>
        </w:rPr>
        <w:t xml:space="preserve"> </w:t>
      </w:r>
      <w:r w:rsidRPr="00AD389C">
        <w:rPr>
          <w:i/>
          <w:lang w:val="bg-BG"/>
        </w:rPr>
        <w:t>освен ако в искането на Европейската комисия или в указанията на Министерст</w:t>
      </w:r>
      <w:bookmarkStart w:id="0" w:name="_GoBack"/>
      <w:bookmarkEnd w:id="0"/>
      <w:r w:rsidRPr="00AD389C">
        <w:rPr>
          <w:i/>
          <w:lang w:val="bg-BG"/>
        </w:rPr>
        <w:t>вото на финансите не е определен друг срок.</w:t>
      </w:r>
    </w:p>
    <w:sectPr w:rsidR="00AD389C" w:rsidRPr="009C524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107" w:rsidRDefault="008333CC">
      <w:r>
        <w:separator/>
      </w:r>
    </w:p>
  </w:endnote>
  <w:endnote w:type="continuationSeparator" w:id="0">
    <w:p w:rsidR="00510107" w:rsidRDefault="0083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ItalicMT">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107" w:rsidRPr="007C70BB" w:rsidRDefault="008333CC">
    <w:pPr>
      <w:autoSpaceDE w:val="0"/>
      <w:autoSpaceDN w:val="0"/>
      <w:adjustRightInd w:val="0"/>
      <w:jc w:val="center"/>
      <w:rPr>
        <w:rFonts w:ascii="Calibri" w:hAnsi="Calibri" w:cs="TimesNewRomanPS-ItalicMT"/>
        <w:i/>
        <w:iCs/>
        <w:sz w:val="18"/>
        <w:szCs w:val="18"/>
        <w:lang w:val="bg-BG"/>
      </w:rPr>
    </w:pPr>
    <w:r w:rsidRPr="007C70BB">
      <w:rPr>
        <w:lang w:val="bg-BG"/>
      </w:rPr>
      <mc:AlternateContent>
        <mc:Choice Requires="wps">
          <w:drawing>
            <wp:inline distT="0" distB="0" distL="0" distR="0">
              <wp:extent cx="6283960" cy="635"/>
              <wp:effectExtent l="57150" t="57150" r="59690" b="56515"/>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3960" cy="635"/>
                      </a:xfrm>
                      <a:prstGeom prst="straightConnector1">
                        <a:avLst/>
                      </a:prstGeom>
                      <a:noFill/>
                      <a:ln w="12700">
                        <a:solidFill>
                          <a:srgbClr val="4472C4"/>
                        </a:solidFill>
                        <a:round/>
                        <a:headEnd type="diamond" w="med" len="med"/>
                        <a:tailEnd type="diamond"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inline>
          </w:drawing>
        </mc:Choice>
        <mc:Fallback>
          <w:pict>
            <v:shapetype w14:anchorId="4065259D" id="_x0000_t32" coordsize="21600,21600" o:spt="32" o:oned="t" path="m,l21600,21600e" filled="f">
              <v:path arrowok="t" fillok="f" o:connecttype="none"/>
              <o:lock v:ext="edit" shapetype="t"/>
            </v:shapetype>
            <v:shape id="Straight Arrow Connector 2" o:spid="_x0000_s1026" type="#_x0000_t32" style="width:494.8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" strokecolor="#4472c4" strokeweight="1pt">
              <v:stroke startarrow="diamond" endarrow="diamond"/>
              <v:shadow color="#868686"/>
              <w10:anchorlock/>
            </v:shape>
          </w:pict>
        </mc:Fallback>
      </mc:AlternateContent>
    </w:r>
  </w:p>
  <w:p w:rsidR="00510107" w:rsidRPr="007C70BB" w:rsidRDefault="008333CC">
    <w:pPr>
      <w:widowControl w:val="0"/>
      <w:tabs>
        <w:tab w:val="center" w:pos="4536"/>
        <w:tab w:val="right" w:pos="9072"/>
      </w:tabs>
      <w:autoSpaceDE w:val="0"/>
      <w:autoSpaceDN w:val="0"/>
      <w:adjustRightInd w:val="0"/>
      <w:jc w:val="center"/>
      <w:rPr>
        <w:rFonts w:eastAsia="Calibri"/>
        <w:i/>
        <w:color w:val="244061"/>
        <w:sz w:val="18"/>
        <w:szCs w:val="20"/>
        <w:lang w:val="bg-BG" w:eastAsia="en-GB"/>
      </w:rPr>
    </w:pPr>
    <w:r w:rsidRPr="007C70BB">
      <w:rPr>
        <w:rFonts w:eastAsia="Calibri"/>
        <w:i/>
        <w:color w:val="244061"/>
        <w:sz w:val="18"/>
        <w:lang w:val="bg-BG" w:eastAsia="en-GB"/>
      </w:rPr>
      <w:t>Договор № BG05SFPR002-1.004-0240-С01 „Адаптиране към променящите се модели на работа“, финансиран от Програма „Развитие на човешките ресурси“2021-2027, съфинансирана от Европейския съюз</w:t>
    </w:r>
  </w:p>
  <w:p w:rsidR="00510107" w:rsidRPr="007C70BB" w:rsidRDefault="00510107">
    <w:pPr>
      <w:pStyle w:val="Footer"/>
      <w:rPr>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107" w:rsidRDefault="008333CC">
      <w:r>
        <w:separator/>
      </w:r>
    </w:p>
  </w:footnote>
  <w:footnote w:type="continuationSeparator" w:id="0">
    <w:p w:rsidR="00510107" w:rsidRDefault="0083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107" w:rsidRDefault="008333CC">
    <w:pPr>
      <w:pStyle w:val="Header"/>
    </w:pPr>
    <w:r>
      <w:rPr>
        <w:noProof/>
        <w:sz w:val="20"/>
      </w:rPr>
      <w:drawing>
        <wp:inline distT="0" distB="0" distL="0" distR="0">
          <wp:extent cx="289560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5600" cy="609600"/>
                  </a:xfrm>
                  <a:prstGeom prst="rect">
                    <a:avLst/>
                  </a:prstGeom>
                  <a:noFill/>
                  <a:ln>
                    <a:noFill/>
                  </a:ln>
                </pic:spPr>
              </pic:pic>
            </a:graphicData>
          </a:graphic>
        </wp:inline>
      </w:drawing>
    </w:r>
  </w:p>
  <w:p w:rsidR="00510107" w:rsidRDefault="005101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107"/>
    <w:rsid w:val="00510107"/>
    <w:rsid w:val="007C70BB"/>
    <w:rsid w:val="008333CC"/>
    <w:rsid w:val="009C524C"/>
    <w:rsid w:val="00AD3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C6D0EB64-3884-4C15-9AE1-C8C1BCED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color w:val="00000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281115">
      <w:bodyDiv w:val="1"/>
      <w:marLeft w:val="0"/>
      <w:marRight w:val="0"/>
      <w:marTop w:val="0"/>
      <w:marBottom w:val="0"/>
      <w:divBdr>
        <w:top w:val="none" w:sz="0" w:space="0" w:color="auto"/>
        <w:left w:val="none" w:sz="0" w:space="0" w:color="auto"/>
        <w:bottom w:val="none" w:sz="0" w:space="0" w:color="auto"/>
        <w:right w:val="none" w:sz="0" w:space="0" w:color="auto"/>
      </w:divBdr>
    </w:div>
    <w:div w:id="201537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6</Pages>
  <Words>2770</Words>
  <Characters>15789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2025-03-19T13:43:00Z</dcterms:created>
  <dcterms:modified xsi:type="dcterms:W3CDTF">2025-03-24T13:30:00Z</dcterms:modified>
</cp:coreProperties>
</file>